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b/>
          <w:bCs/>
        </w:rPr>
      </w:pPr>
      <w:r>
        <w:rPr>
          <w:b/>
          <w:bCs/>
        </w:rPr>
        <w:t>Waar moet u op letten?</w:t>
      </w:r>
    </w:p>
    <w:p>
      <w:pPr>
        <w:pStyle w:val="Normal"/>
        <w:rPr>
          <w:b w:val="false"/>
          <w:bCs w:val="false"/>
        </w:rPr>
      </w:pPr>
      <w:r>
        <w:rPr>
          <w:b w:val="false"/>
          <w:bCs w:val="false"/>
        </w:rPr>
        <w:t xml:space="preserve">1. Heeft/verwacht u een fosfaatoverschot? </w:t>
      </w:r>
    </w:p>
    <w:p>
      <w:pPr>
        <w:pStyle w:val="Normal"/>
        <w:rPr/>
      </w:pPr>
      <w:r>
        <w:rPr/>
        <w:t xml:space="preserve">Let op, soms wordt het bemestingsplan gemaakt op basis van de dieraantallen in 2014, als u meer koeien verwacht te melken in 2015 moet u hiervoor corrigeren. </w:t>
      </w:r>
    </w:p>
    <w:p>
      <w:pPr>
        <w:pStyle w:val="Normal"/>
        <w:rPr/>
      </w:pPr>
      <w:r>
        <w:rPr/>
      </w:r>
    </w:p>
    <w:p>
      <w:pPr>
        <w:pStyle w:val="Normal"/>
        <w:rPr/>
      </w:pPr>
      <w:r>
        <w:rPr/>
        <w:t xml:space="preserve">Als u geen fosfaatoverschot in 2015 heeft/verwacht, heeft u geen mestverwerkingsplicht. U hoeft dan niks te doen. </w:t>
      </w:r>
    </w:p>
    <w:p>
      <w:pPr>
        <w:pStyle w:val="Normal"/>
        <w:rPr/>
      </w:pPr>
      <w:r>
        <w:rPr/>
      </w:r>
    </w:p>
    <w:p>
      <w:pPr>
        <w:pStyle w:val="Normal"/>
        <w:rPr/>
      </w:pPr>
      <w:r>
        <w:rPr/>
        <w:t xml:space="preserve">Het onderstaande is dan alleen geldig voor bedrijven met een fosfaatoverschot: </w:t>
      </w:r>
    </w:p>
    <w:p>
      <w:pPr>
        <w:pStyle w:val="Normal"/>
        <w:rPr>
          <w:b w:val="false"/>
          <w:bCs w:val="false"/>
        </w:rPr>
      </w:pPr>
      <w:r>
        <w:rPr>
          <w:b w:val="false"/>
          <w:bCs w:val="false"/>
        </w:rPr>
        <w:t xml:space="preserve">2. Bereken of u een mestverwerkingsplicht heeft. </w:t>
      </w:r>
    </w:p>
    <w:p>
      <w:pPr>
        <w:pStyle w:val="Normal"/>
        <w:rPr/>
      </w:pPr>
      <w:r>
        <w:rPr/>
      </w:r>
    </w:p>
    <w:p>
      <w:pPr>
        <w:pStyle w:val="Normal"/>
        <w:rPr/>
      </w:pPr>
      <w:r>
        <w:rPr/>
        <w:t>Zo ja:</w:t>
      </w:r>
    </w:p>
    <w:p>
      <w:pPr>
        <w:pStyle w:val="Normal"/>
        <w:rPr/>
      </w:pPr>
      <w:r>
        <w:rPr/>
        <w:t>3. Gaat u aan de eisen van de mestverwerkingsplicht voldoen via een regionaal mestovereenkomst (RMO) of via een vervangende verwerkingsovereenkomst? (VVO)</w:t>
      </w:r>
    </w:p>
    <w:p>
      <w:pPr>
        <w:pStyle w:val="Normal"/>
        <w:rPr/>
      </w:pPr>
      <w:r>
        <w:rPr/>
      </w:r>
    </w:p>
    <w:p>
      <w:pPr>
        <w:pStyle w:val="Normal"/>
        <w:rPr/>
      </w:pPr>
      <w:r>
        <w:rPr/>
        <w:t xml:space="preserve">Een RMO heeft de voorkeur, dit is veel goedkoper of zelfs gratis. </w:t>
      </w:r>
    </w:p>
    <w:p>
      <w:pPr>
        <w:pStyle w:val="Normal"/>
        <w:rPr/>
      </w:pPr>
      <w:r>
        <w:rPr/>
      </w:r>
    </w:p>
    <w:p>
      <w:pPr>
        <w:pStyle w:val="Normal"/>
        <w:rPr/>
      </w:pPr>
      <w:r>
        <w:rPr/>
        <w:t xml:space="preserve">Bij VVO's geeft u iemand anders de opdracht om uw mestverwerkingsplicht over te nemen. Dit is een kwestie van een handelaar bellen, de opdracht te geven en de rekening te betalen. De mest moet dan nog wel fysiek afgezet worden. </w:t>
      </w:r>
    </w:p>
    <w:p>
      <w:pPr>
        <w:pStyle w:val="Normal"/>
        <w:rPr/>
      </w:pPr>
      <w:r>
        <w:rPr/>
      </w:r>
    </w:p>
    <w:p>
      <w:pPr>
        <w:pStyle w:val="Normal"/>
        <w:rPr/>
      </w:pPr>
      <w:r>
        <w:rPr/>
        <w:t xml:space="preserve">Ik heb onderstaand de eisen voor een RMO opgeschreven. Lees het goed door. Afzetten van uw </w:t>
      </w:r>
      <w:r>
        <w:rPr>
          <w:b/>
          <w:bCs/>
        </w:rPr>
        <w:t>totale</w:t>
      </w:r>
      <w:r>
        <w:rPr/>
        <w:t xml:space="preserve"> </w:t>
      </w:r>
      <w:r>
        <w:rPr/>
        <w:t>fosfaat</w:t>
      </w:r>
      <w:r>
        <w:rPr/>
        <w:t xml:space="preserve">overschot. </w:t>
      </w:r>
      <w:r>
        <w:rPr/>
        <w:t>Dus niet het aantal VVO's dat u moet kopen, maar uw totale fosfaatoverschot.</w:t>
      </w:r>
      <w:r>
        <w:rPr/>
        <w:t xml:space="preserve"> Op de mestbonnen de juiste code zetten </w:t>
      </w:r>
      <w:r>
        <w:rPr/>
        <w:t>(71)</w:t>
      </w:r>
      <w:r>
        <w:rPr/>
        <w:t xml:space="preserve">, de mest direct op het land brengen, etcetera.  </w:t>
      </w:r>
    </w:p>
    <w:p>
      <w:pPr>
        <w:pStyle w:val="Normal"/>
        <w:rPr/>
      </w:pPr>
      <w:r>
        <w:rPr/>
      </w:r>
    </w:p>
    <w:p>
      <w:pPr>
        <w:pStyle w:val="Normal"/>
        <w:rPr/>
      </w:pPr>
      <w:r>
        <w:rPr/>
        <w:t xml:space="preserve">Let op, het is met RMO alles of niks. Als u een fosfaatoverschot van 1000 kg P heeft en er gaat 950 kg P weg via code 71 (RMO). Dat moet u nog steeds alle VVO's kopen die u dient te kopen, </w:t>
      </w:r>
      <w:r>
        <w:rPr/>
        <w:t>zie berekening in uw mestplan</w:t>
      </w:r>
      <w:r>
        <w:rPr/>
        <w:t xml:space="preserve">. </w:t>
      </w:r>
      <w:r>
        <w:rPr/>
        <w:t xml:space="preserve">Het is dus alles of niks. </w:t>
      </w:r>
      <w:r>
        <w:rPr/>
        <w:t xml:space="preserve"> </w:t>
      </w:r>
    </w:p>
    <w:p>
      <w:pPr>
        <w:pStyle w:val="Normal"/>
        <w:rPr/>
      </w:pPr>
      <w:r>
        <w:rPr/>
        <w:t xml:space="preserve">De RMO contracten dient u in uw eigen mestboekhouding te bewaren, dit hoeft niet opgestuurd te worden naar RVO. </w:t>
      </w:r>
    </w:p>
    <w:p>
      <w:pPr>
        <w:pStyle w:val="Heading4"/>
        <w:numPr>
          <w:ilvl w:val="3"/>
          <w:numId w:val="2"/>
        </w:numPr>
        <w:rPr>
          <w:b w:val="false"/>
          <w:bCs w:val="false"/>
        </w:rPr>
      </w:pPr>
      <w:r>
        <w:rPr/>
        <w:t xml:space="preserve">Afvoer naar landbouwbedrijf </w:t>
      </w:r>
      <w:r>
        <w:rPr>
          <w:b w:val="false"/>
          <w:bCs w:val="false"/>
        </w:rPr>
        <w:t>(eisen om een RMO af te mogen sluiten)</w:t>
      </w:r>
    </w:p>
    <w:p>
      <w:pPr>
        <w:pStyle w:val="TextBody"/>
        <w:rPr/>
      </w:pPr>
      <w:r>
        <w:rPr/>
        <w:t xml:space="preserve">De uitzondering op de verwerkingsplicht geldt ook als u uw </w:t>
      </w:r>
      <w:r>
        <w:rPr>
          <w:b/>
          <w:bCs/>
        </w:rPr>
        <w:t>totale</w:t>
      </w:r>
      <w:r>
        <w:rPr/>
        <w:t xml:space="preserve"> bedrijfsoverschot rechtstreeks afvoert naar een of meerdere landbouwbedrijven en u aan de volgende voorwaarden voldoet:</w:t>
      </w:r>
    </w:p>
    <w:p>
      <w:pPr>
        <w:pStyle w:val="TextBody"/>
        <w:numPr>
          <w:ilvl w:val="0"/>
          <w:numId w:val="3"/>
        </w:numPr>
        <w:tabs>
          <w:tab w:val="left" w:pos="707" w:leader="none"/>
        </w:tabs>
        <w:spacing w:before="0" w:after="0"/>
        <w:ind w:left="707" w:right="0" w:hanging="283"/>
        <w:rPr/>
      </w:pPr>
      <w:r>
        <w:rPr/>
        <w:t xml:space="preserve">Het bedrijf dat de mest afneemt ligt hemelsbreed maximaal 20 kilometer vanaf uw </w:t>
      </w:r>
      <w:r>
        <w:rPr>
          <w:b w:val="false"/>
          <w:bCs w:val="false"/>
        </w:rPr>
        <w:t>productielocatie</w:t>
      </w:r>
      <w:r>
        <w:rPr/>
        <w:t xml:space="preserve">. </w:t>
      </w:r>
    </w:p>
    <w:p>
      <w:pPr>
        <w:pStyle w:val="TextBody"/>
        <w:numPr>
          <w:ilvl w:val="0"/>
          <w:numId w:val="3"/>
        </w:numPr>
        <w:tabs>
          <w:tab w:val="left" w:pos="707" w:leader="none"/>
        </w:tabs>
        <w:spacing w:before="0" w:after="0"/>
        <w:ind w:left="707" w:right="0" w:hanging="283"/>
        <w:rPr/>
      </w:pPr>
      <w:r>
        <w:rPr/>
        <w:t xml:space="preserve">De afnemer mag de mest niet eerst opslaan, maar gebruikt deze </w:t>
      </w:r>
      <w:r>
        <w:rPr>
          <w:b/>
          <w:bCs/>
        </w:rPr>
        <w:t>direct</w:t>
      </w:r>
      <w:r>
        <w:rPr/>
        <w:t xml:space="preserve"> op zijn landbouwgrond. </w:t>
      </w:r>
    </w:p>
    <w:p>
      <w:pPr>
        <w:pStyle w:val="TextBody"/>
        <w:numPr>
          <w:ilvl w:val="0"/>
          <w:numId w:val="3"/>
        </w:numPr>
        <w:tabs>
          <w:tab w:val="left" w:pos="707" w:leader="none"/>
        </w:tabs>
        <w:spacing w:before="0" w:after="0"/>
        <w:ind w:left="707" w:right="0" w:hanging="283"/>
        <w:rPr/>
      </w:pPr>
      <w:r>
        <w:rPr/>
        <w:t xml:space="preserve">U voert uw </w:t>
      </w:r>
      <w:r>
        <w:rPr>
          <w:b/>
          <w:bCs/>
        </w:rPr>
        <w:t>totale</w:t>
      </w:r>
      <w:r>
        <w:rPr/>
        <w:t xml:space="preserve"> </w:t>
      </w:r>
      <w:r>
        <w:rPr>
          <w:b/>
          <w:bCs/>
        </w:rPr>
        <w:t>bedrijfsoverschot</w:t>
      </w:r>
      <w:r>
        <w:rPr/>
        <w:t xml:space="preserve"> af. </w:t>
      </w:r>
    </w:p>
    <w:p>
      <w:pPr>
        <w:pStyle w:val="TextBody"/>
        <w:numPr>
          <w:ilvl w:val="0"/>
          <w:numId w:val="3"/>
        </w:numPr>
        <w:tabs>
          <w:tab w:val="left" w:pos="707" w:leader="none"/>
        </w:tabs>
        <w:spacing w:before="0" w:after="0"/>
        <w:ind w:left="707" w:right="0" w:hanging="283"/>
        <w:rPr/>
      </w:pPr>
      <w:r>
        <w:rPr/>
        <w:t xml:space="preserve">Uw bedrijfsoverschot is in het betreffende kalenderjaar maximaal 25% van de totale mestproductie. </w:t>
      </w:r>
    </w:p>
    <w:p>
      <w:pPr>
        <w:pStyle w:val="TextBody"/>
        <w:numPr>
          <w:ilvl w:val="0"/>
          <w:numId w:val="3"/>
        </w:numPr>
        <w:tabs>
          <w:tab w:val="left" w:pos="707" w:leader="none"/>
        </w:tabs>
        <w:spacing w:before="0" w:after="0"/>
        <w:ind w:left="707" w:right="0" w:hanging="283"/>
        <w:rPr/>
      </w:pPr>
      <w:r>
        <w:rPr/>
        <w:t xml:space="preserve">U sluit vooraf een Regionale mestafzetovereenkomst (RMO) af met de afnemer. U hoeft deze overeenkomst niet naar ons op te sturen, bewaar deze in uw administratie </w:t>
      </w:r>
    </w:p>
    <w:p>
      <w:pPr>
        <w:pStyle w:val="TextBody"/>
        <w:numPr>
          <w:ilvl w:val="0"/>
          <w:numId w:val="3"/>
        </w:numPr>
        <w:tabs>
          <w:tab w:val="left" w:pos="707" w:leader="none"/>
        </w:tabs>
        <w:ind w:left="707" w:right="0" w:hanging="283"/>
        <w:rPr/>
      </w:pPr>
      <w:r>
        <w:rPr/>
        <w:t xml:space="preserve">Op het Vervoersbewijs dierlijke meststoffen vult u opmerkingscode </w:t>
      </w:r>
      <w:r>
        <w:rPr>
          <w:b/>
          <w:bCs/>
        </w:rPr>
        <w:t>71</w:t>
      </w:r>
      <w:r>
        <w:rPr/>
        <w:t xml:space="preserve"> in. </w:t>
      </w:r>
    </w:p>
    <w:p>
      <w:pPr>
        <w:pStyle w:val="Normal"/>
        <w:rPr/>
      </w:pPr>
      <w:r>
        <w:rPr/>
      </w:r>
    </w:p>
    <w:p>
      <w:pPr>
        <w:pStyle w:val="Normal"/>
        <w:rPr/>
      </w:pPr>
      <w:r>
        <w:rPr/>
        <w:t>Meer informatie in deze link:</w:t>
      </w:r>
    </w:p>
    <w:p>
      <w:pPr>
        <w:pStyle w:val="Normal"/>
        <w:rPr>
          <w:rStyle w:val="InternetLink"/>
        </w:rPr>
      </w:pPr>
      <w:hyperlink r:id="rId2">
        <w:r>
          <w:rPr>
            <w:rStyle w:val="InternetLink"/>
          </w:rPr>
          <w:t>https://mijn.rvo.nl/mestverwerkingsplicht-landbouwer</w:t>
        </w:r>
      </w:hyperlink>
    </w:p>
    <w:sectPr>
      <w:type w:val="nextPage"/>
      <w:pgSz w:w="12240" w:h="15840"/>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0"/>
    <w:family w:val="roman"/>
    <w:pitch w:val="variable"/>
  </w:font>
  <w:font w:name="Symbol">
    <w:charset w:val="01"/>
    <w:family w:val="auto"/>
    <w:pitch w:val="default"/>
  </w:font>
  <w:font w:name="OpenSymbol">
    <w:altName w:val="Arial Unicode MS"/>
    <w:charset w:val="80"/>
    <w:family w:val="auto"/>
    <w:pitch w:val="default"/>
  </w:font>
  <w:font w:name="Arial">
    <w:charset w:val="8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abstractNum w:abstractNumId="2">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abstractNum w:abstractNumId="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ejaVu Sans" w:cs="Lohit Hindi"/>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Times New Roman" w:hAnsi="Times New Roman" w:eastAsia="DejaVu Sans" w:cs="DejaVu Sans"/>
      <w:color w:val="auto"/>
      <w:sz w:val="24"/>
      <w:szCs w:val="24"/>
      <w:lang w:val="nl-NL" w:eastAsia="zh-CN" w:bidi="hi-IN"/>
    </w:rPr>
  </w:style>
  <w:style w:type="paragraph" w:styleId="Heading4">
    <w:name w:val="Heading 4"/>
    <w:basedOn w:val="Heading"/>
    <w:next w:val="TextBody"/>
    <w:pPr>
      <w:numPr>
        <w:ilvl w:val="3"/>
        <w:numId w:val="2"/>
      </w:numPr>
      <w:outlineLvl w:val="3"/>
      <w:outlineLvl w:val="3"/>
    </w:pPr>
    <w:rPr>
      <w:rFonts w:ascii="Times New Roman" w:hAnsi="Times New Roman" w:eastAsia="DejaVu Sans" w:cs="DejaVu Sans"/>
      <w:b/>
      <w:bCs/>
      <w:sz w:val="24"/>
      <w:szCs w:val="24"/>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rFonts w:ascii="Symbol" w:hAnsi="Symbol" w:cs="OpenSymbol;Arial Unicode MS"/>
    </w:rPr>
  </w:style>
  <w:style w:type="character" w:styleId="AbsatzStandardschriftart">
    <w:name w:val="Absatz-Standardschriftart"/>
    <w:rPr/>
  </w:style>
  <w:style w:type="character" w:styleId="WWAbsatzStandardschriftart">
    <w:name w:val="WW-Absatz-Standardschriftart"/>
    <w:rPr/>
  </w:style>
  <w:style w:type="character" w:styleId="Bullets">
    <w:name w:val="Bullets"/>
    <w:rPr>
      <w:rFonts w:ascii="OpenSymbol;Arial Unicode MS" w:hAnsi="OpenSymbol;Arial Unicode MS" w:eastAsia="OpenSymbol;Arial Unicode MS" w:cs="OpenSymbol;Arial Unicode MS"/>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Arial" w:hAnsi="Arial" w:eastAsia="DejaVu Sans" w:cs="DejaVu Sans"/>
      <w:sz w:val="28"/>
      <w:szCs w:val="28"/>
    </w:rPr>
  </w:style>
  <w:style w:type="paragraph" w:styleId="TextBody">
    <w:name w:val="Text Body"/>
    <w:basedOn w:val="Normal"/>
    <w:pPr>
      <w:spacing w:before="0" w:after="12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jn.rvo.nl/mestverwerkingsplicht-landbouwer"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2067068</TotalTime>
  <Application>LibreOffice/4.2.3.3$Linux_x86 LibreOffice_project/420m0$Build-3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2015-02-15T17:40:01Z</dcterms:created>
  <dc:creator>user </dc:creator>
  <dc:language>en-US</dc:language>
  <cp:lastPrinted>2016-08-25T19:34:47Z</cp:lastPrinted>
  <cp:revision>0</cp:revision>
</cp:coreProperties>
</file>